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5B06C" w14:textId="77777777" w:rsidR="0032394A" w:rsidRDefault="006D4871">
      <w:pPr>
        <w:spacing w:after="0" w:line="259" w:lineRule="auto"/>
        <w:ind w:left="0" w:firstLine="0"/>
      </w:pPr>
      <w:r>
        <w:rPr>
          <w:color w:val="2F5496"/>
          <w:sz w:val="26"/>
        </w:rPr>
        <w:t xml:space="preserve">Diseño de nueva página </w:t>
      </w:r>
    </w:p>
    <w:p w14:paraId="07DDD377" w14:textId="77777777" w:rsidR="0032394A" w:rsidRDefault="006D4871">
      <w:pPr>
        <w:numPr>
          <w:ilvl w:val="0"/>
          <w:numId w:val="1"/>
        </w:numPr>
        <w:ind w:right="25" w:hanging="360"/>
      </w:pPr>
      <w:r>
        <w:t xml:space="preserve">Agregaremos una nueva página a nuestro informe y la nombraremos </w:t>
      </w:r>
      <w:r>
        <w:rPr>
          <w:i/>
        </w:rPr>
        <w:t>NOF VS FM</w:t>
      </w:r>
      <w:r>
        <w:t xml:space="preserve"> </w:t>
      </w:r>
    </w:p>
    <w:p w14:paraId="6406207E" w14:textId="77777777" w:rsidR="0032394A" w:rsidRDefault="006D4871">
      <w:pPr>
        <w:numPr>
          <w:ilvl w:val="0"/>
          <w:numId w:val="1"/>
        </w:numPr>
        <w:ind w:right="25" w:hanging="360"/>
      </w:pPr>
      <w:r>
        <w:t xml:space="preserve">Desde nuestra página </w:t>
      </w:r>
      <w:r>
        <w:rPr>
          <w:i/>
        </w:rPr>
        <w:t xml:space="preserve">Detalle de Movimientos </w:t>
      </w:r>
      <w:r>
        <w:t xml:space="preserve">copiaremos el control </w:t>
      </w:r>
      <w:proofErr w:type="spellStart"/>
      <w:r>
        <w:rPr>
          <w:i/>
        </w:rPr>
        <w:t>Chiclet</w:t>
      </w:r>
      <w:proofErr w:type="spellEnd"/>
      <w:r>
        <w:rPr>
          <w:i/>
        </w:rPr>
        <w:t xml:space="preserve">, </w:t>
      </w:r>
      <w:r>
        <w:t>el título</w:t>
      </w:r>
      <w:r>
        <w:rPr>
          <w:i/>
        </w:rPr>
        <w:t xml:space="preserve"> </w:t>
      </w:r>
      <w:r>
        <w:t xml:space="preserve">y las imágenes, esto tratando de conservar el mismo orden de los controles. </w:t>
      </w:r>
    </w:p>
    <w:p w14:paraId="5A197EAD" w14:textId="77777777" w:rsidR="0032394A" w:rsidRDefault="006D4871">
      <w:pPr>
        <w:numPr>
          <w:ilvl w:val="0"/>
          <w:numId w:val="1"/>
        </w:numPr>
        <w:ind w:right="25" w:hanging="360"/>
      </w:pPr>
      <w:r>
        <w:t xml:space="preserve">Al momento de pegar los objetos en nuestra nueva página nos saldrá un mensaje emergente que nos preguntar si queremos sincronizar los objetos visuales, clicaremos sobre el botón </w:t>
      </w:r>
      <w:r>
        <w:rPr>
          <w:i/>
        </w:rPr>
        <w:t xml:space="preserve">Sincronizar </w:t>
      </w:r>
      <w:r>
        <w:t>(al hacer esto, conservaremos los filtros entre pág</w:t>
      </w:r>
      <w:r w:rsidR="00F75C7C">
        <w:t>i</w:t>
      </w:r>
      <w:r>
        <w:t xml:space="preserve">nas) </w:t>
      </w:r>
    </w:p>
    <w:p w14:paraId="1F1DAB2F" w14:textId="77777777" w:rsidR="0032394A" w:rsidRDefault="006D4871">
      <w:pPr>
        <w:numPr>
          <w:ilvl w:val="0"/>
          <w:numId w:val="1"/>
        </w:numPr>
        <w:ind w:right="25" w:hanging="360"/>
      </w:pPr>
      <w:r>
        <w:t xml:space="preserve">Modificaremos el texto del título por el nombre de la página </w:t>
      </w:r>
    </w:p>
    <w:p w14:paraId="503CF8F9" w14:textId="77777777" w:rsidR="0032394A" w:rsidRDefault="006D4871">
      <w:pPr>
        <w:numPr>
          <w:ilvl w:val="0"/>
          <w:numId w:val="1"/>
        </w:numPr>
        <w:ind w:right="25" w:hanging="360"/>
      </w:pPr>
      <w:r>
        <w:t xml:space="preserve">Incluiremos una tarjeta para visualizar el NOF y arrastraremos el campo NOF de nuestra tabla de Medidas </w:t>
      </w:r>
    </w:p>
    <w:p w14:paraId="4E284C90" w14:textId="77777777" w:rsidR="0032394A" w:rsidRDefault="006D4871">
      <w:pPr>
        <w:numPr>
          <w:ilvl w:val="0"/>
          <w:numId w:val="1"/>
        </w:numPr>
        <w:ind w:right="25" w:hanging="360"/>
      </w:pPr>
      <w:r>
        <w:t xml:space="preserve">Sobre el campo que hemos arrastrado daremos doble clic para renombrar el campo y que se visualice el texto completo del significado de NOF (Necesidad Operativa de Fondos). </w:t>
      </w:r>
    </w:p>
    <w:p w14:paraId="7B0DFD8F" w14:textId="77777777" w:rsidR="0032394A" w:rsidRDefault="006D4871">
      <w:pPr>
        <w:numPr>
          <w:ilvl w:val="0"/>
          <w:numId w:val="1"/>
        </w:numPr>
        <w:ind w:right="25" w:hanging="360"/>
      </w:pPr>
      <w:r>
        <w:t xml:space="preserve">En la sección de Formato del control, iremos a </w:t>
      </w:r>
      <w:r>
        <w:rPr>
          <w:i/>
        </w:rPr>
        <w:t>Título</w:t>
      </w:r>
      <w:r>
        <w:t xml:space="preserve"> y lo activaremos digitando en </w:t>
      </w:r>
      <w:r>
        <w:rPr>
          <w:i/>
        </w:rPr>
        <w:t xml:space="preserve">Texto del título </w:t>
      </w:r>
      <w:r>
        <w:t xml:space="preserve">las abreviaturas NOF, adicional a ello centraremos el título y le cambiaremos el fondo y color de fuente por valores a nuestra elección. </w:t>
      </w:r>
    </w:p>
    <w:p w14:paraId="62C56191" w14:textId="77777777" w:rsidR="0032394A" w:rsidRDefault="006D4871">
      <w:pPr>
        <w:numPr>
          <w:ilvl w:val="0"/>
          <w:numId w:val="1"/>
        </w:numPr>
        <w:ind w:right="25" w:hanging="360"/>
      </w:pPr>
      <w:r>
        <w:t xml:space="preserve">Duplicaremos el control (Copiar pegar) y reemplazaremos los valores de NOF por FM (Fondo de Maniobra). </w:t>
      </w:r>
    </w:p>
    <w:p w14:paraId="493CD303" w14:textId="77777777" w:rsidR="0032394A" w:rsidRDefault="006D4871">
      <w:pPr>
        <w:numPr>
          <w:ilvl w:val="0"/>
          <w:numId w:val="1"/>
        </w:numPr>
        <w:ind w:right="25" w:hanging="360"/>
      </w:pPr>
      <w:r>
        <w:t xml:space="preserve">Para medir el Fondo de Maniobra agregaremos un control KPI. </w:t>
      </w:r>
    </w:p>
    <w:p w14:paraId="3D78040A" w14:textId="77777777" w:rsidR="0032394A" w:rsidRDefault="006D4871">
      <w:pPr>
        <w:numPr>
          <w:ilvl w:val="0"/>
          <w:numId w:val="1"/>
        </w:numPr>
        <w:spacing w:after="176"/>
        <w:ind w:right="25" w:hanging="360"/>
      </w:pPr>
      <w:r>
        <w:t xml:space="preserve">El indicador será la medida NOF VS FM, el eje de tendencia la medida el Año y los objetivos destino el FM y el NOF. </w:t>
      </w:r>
    </w:p>
    <w:p w14:paraId="403FC754" w14:textId="77777777" w:rsidR="0032394A" w:rsidRDefault="006D4871">
      <w:pPr>
        <w:spacing w:after="27" w:line="259" w:lineRule="auto"/>
        <w:ind w:left="720" w:firstLine="0"/>
      </w:pPr>
      <w:r>
        <w:rPr>
          <w:color w:val="1F3763"/>
          <w:sz w:val="24"/>
        </w:rPr>
        <w:t xml:space="preserve">Definiciones NOF VS NF </w:t>
      </w:r>
    </w:p>
    <w:p w14:paraId="69CEB73B" w14:textId="77777777" w:rsidR="0032394A" w:rsidRDefault="006D4871">
      <w:pPr>
        <w:numPr>
          <w:ilvl w:val="1"/>
          <w:numId w:val="2"/>
        </w:numPr>
        <w:ind w:right="25" w:hanging="360"/>
      </w:pPr>
      <w:r>
        <w:t xml:space="preserve">FM &gt; NOF </w:t>
      </w:r>
      <w:r w:rsidR="009B20B5">
        <w:rPr>
          <w:rFonts w:ascii="Wingdings" w:eastAsia="Wingdings" w:hAnsi="Wingdings" w:cs="Wingdings"/>
        </w:rPr>
        <w:t>è</w:t>
      </w:r>
      <w:r>
        <w:t xml:space="preserve"> Cuando el Fondo de Maniobra es mayor que las Necesidades Operativas de Fondos significa que la empresa dispone de activos corrientes en su estructura económica que no están vinculados (ni se invierten) en el ciclo de explotación de la empresa. Es decir, tiene </w:t>
      </w:r>
      <w:r>
        <w:rPr>
          <w:b/>
        </w:rPr>
        <w:t>Tesorería Excedente.</w:t>
      </w:r>
      <w:r>
        <w:t xml:space="preserve"> </w:t>
      </w:r>
    </w:p>
    <w:p w14:paraId="3A584AD8" w14:textId="77777777" w:rsidR="0032394A" w:rsidRDefault="006D4871" w:rsidP="00D149C0">
      <w:pPr>
        <w:numPr>
          <w:ilvl w:val="1"/>
          <w:numId w:val="2"/>
        </w:numPr>
        <w:spacing w:after="162"/>
        <w:ind w:left="2124" w:right="25" w:hanging="1044"/>
      </w:pPr>
      <w:r>
        <w:t>FM &lt; NOF</w:t>
      </w:r>
      <w:r w:rsidR="009B20B5">
        <w:t xml:space="preserve"> </w:t>
      </w:r>
      <w:r w:rsidR="009B20B5">
        <w:rPr>
          <w:rFonts w:ascii="Wingdings" w:eastAsia="Wingdings" w:hAnsi="Wingdings" w:cs="Wingdings"/>
        </w:rPr>
        <w:t>è</w:t>
      </w:r>
      <w:r w:rsidR="009B20B5">
        <w:t xml:space="preserve"> </w:t>
      </w:r>
      <w:r>
        <w:t>En cambio, cuando las NOF superan el FM significa que, para financiar los activos corrientes de la explotación ha de acudir a deuda negociada, es decir, deuda contraída con entidades de crédito que deriva en mayores gastos financieros.</w:t>
      </w:r>
      <w:r>
        <w:rPr>
          <w:rFonts w:ascii="Verdana" w:eastAsia="Verdana" w:hAnsi="Verdana" w:cs="Verdana"/>
          <w:color w:val="3A3A3A"/>
        </w:rPr>
        <w:t xml:space="preserve"> </w:t>
      </w:r>
    </w:p>
    <w:p w14:paraId="683C1656" w14:textId="77777777" w:rsidR="0032394A" w:rsidRDefault="006D4871">
      <w:pPr>
        <w:spacing w:after="193"/>
        <w:ind w:left="1080" w:right="25" w:firstLine="0"/>
      </w:pPr>
      <w:proofErr w:type="gramStart"/>
      <w:r>
        <w:t xml:space="preserve">Conclusión </w:t>
      </w:r>
      <w:r w:rsidR="00BC46F4">
        <w:t xml:space="preserve"> </w:t>
      </w:r>
      <w:r w:rsidR="00BC46F4">
        <w:rPr>
          <w:rFonts w:ascii="Wingdings" w:eastAsia="Wingdings" w:hAnsi="Wingdings" w:cs="Wingdings"/>
        </w:rPr>
        <w:t>è</w:t>
      </w:r>
      <w:proofErr w:type="gramEnd"/>
      <w:r w:rsidR="00BC46F4">
        <w:t xml:space="preserve"> </w:t>
      </w:r>
      <w:r>
        <w:t xml:space="preserve"> Se pudiera creer que la deuda negociada es mala, pero en realidad es sostenible si esta deuda no implica gran peso sobre la estructura financiera implicando altos costos financieros. </w:t>
      </w:r>
    </w:p>
    <w:p w14:paraId="6431C139" w14:textId="77777777" w:rsidR="0032394A" w:rsidRDefault="006D4871">
      <w:pPr>
        <w:numPr>
          <w:ilvl w:val="0"/>
          <w:numId w:val="1"/>
        </w:numPr>
        <w:ind w:right="25" w:hanging="360"/>
      </w:pPr>
      <w:r>
        <w:t xml:space="preserve">Ahora agregaremos un gráfico de columnas apiladas para analizar el FM vs NOF a lo largo de los meses, cómo eje seleccionaremos el nombre del mes y cómo valores FM y NOF Para este gráfico podremos notar que los meses no se hallan en orden y si intentamos ordenarlos, el ordenamiento se hará de forma alfabética, ¿Cómo resolvemos este inconveniente? </w:t>
      </w:r>
    </w:p>
    <w:p w14:paraId="63CE9BB2" w14:textId="77777777" w:rsidR="0032394A" w:rsidRDefault="006D4871">
      <w:pPr>
        <w:numPr>
          <w:ilvl w:val="1"/>
          <w:numId w:val="1"/>
        </w:numPr>
        <w:ind w:right="25" w:hanging="360"/>
      </w:pPr>
      <w:r>
        <w:t xml:space="preserve">Deberemos de crear una columna </w:t>
      </w:r>
      <w:proofErr w:type="gramStart"/>
      <w:r>
        <w:t xml:space="preserve">mes </w:t>
      </w:r>
      <w:r w:rsidR="00BC46F4">
        <w:t xml:space="preserve"> </w:t>
      </w:r>
      <w:r w:rsidR="00BC46F4">
        <w:rPr>
          <w:rFonts w:ascii="Wingdings" w:eastAsia="Wingdings" w:hAnsi="Wingdings" w:cs="Wingdings"/>
        </w:rPr>
        <w:t>è</w:t>
      </w:r>
      <w:proofErr w:type="gramEnd"/>
      <w:r w:rsidR="00BC46F4">
        <w:t xml:space="preserve"> </w:t>
      </w:r>
      <w:r>
        <w:t xml:space="preserve"> </w:t>
      </w:r>
      <w:proofErr w:type="spellStart"/>
      <w:r>
        <w:t>Mes</w:t>
      </w:r>
      <w:proofErr w:type="spellEnd"/>
      <w:r>
        <w:t xml:space="preserve"> = </w:t>
      </w:r>
      <w:proofErr w:type="spellStart"/>
      <w:r>
        <w:t>ResumenCuentas</w:t>
      </w:r>
      <w:proofErr w:type="spellEnd"/>
      <w:r>
        <w:t>[Fecha].[</w:t>
      </w:r>
      <w:proofErr w:type="spellStart"/>
      <w:r>
        <w:t>NroMes</w:t>
      </w:r>
      <w:proofErr w:type="spellEnd"/>
      <w:r>
        <w:t xml:space="preserve">]  </w:t>
      </w:r>
    </w:p>
    <w:p w14:paraId="0837DC66" w14:textId="77777777" w:rsidR="0032394A" w:rsidRDefault="006D4871">
      <w:pPr>
        <w:numPr>
          <w:ilvl w:val="1"/>
          <w:numId w:val="1"/>
        </w:numPr>
        <w:ind w:right="25" w:hanging="360"/>
      </w:pPr>
      <w:r>
        <w:t xml:space="preserve">Seleccionamos el campo Nombre del mes, en la barra de herramientas nos ubicamos en la pestaña Herramientas de columnas y seleccionamos el botón </w:t>
      </w:r>
      <w:r>
        <w:rPr>
          <w:i/>
        </w:rPr>
        <w:t>Ordenar por columna</w:t>
      </w:r>
      <w:r>
        <w:t xml:space="preserve"> </w:t>
      </w:r>
    </w:p>
    <w:p w14:paraId="620EFBA3" w14:textId="77777777" w:rsidR="0032394A" w:rsidRDefault="006D4871">
      <w:pPr>
        <w:numPr>
          <w:ilvl w:val="1"/>
          <w:numId w:val="1"/>
        </w:numPr>
        <w:ind w:right="25" w:hanging="360"/>
      </w:pPr>
      <w:r>
        <w:t xml:space="preserve">Seleccionamos la columna mes que hemos creado a partir de </w:t>
      </w:r>
      <w:r>
        <w:rPr>
          <w:i/>
        </w:rPr>
        <w:t>Fecha</w:t>
      </w:r>
      <w:r>
        <w:t xml:space="preserve"> </w:t>
      </w:r>
    </w:p>
    <w:p w14:paraId="73D87A19" w14:textId="77777777" w:rsidR="0032394A" w:rsidRDefault="006D4871">
      <w:pPr>
        <w:numPr>
          <w:ilvl w:val="0"/>
          <w:numId w:val="1"/>
        </w:numPr>
        <w:ind w:right="25" w:hanging="360"/>
      </w:pPr>
      <w:r>
        <w:lastRenderedPageBreak/>
        <w:t xml:space="preserve">Copiamos el formato de cualquiera de las tarjetas ya creadas </w:t>
      </w:r>
    </w:p>
    <w:p w14:paraId="52D101C6" w14:textId="77777777" w:rsidR="0032394A" w:rsidRDefault="006D4871">
      <w:pPr>
        <w:numPr>
          <w:ilvl w:val="1"/>
          <w:numId w:val="1"/>
        </w:numPr>
        <w:spacing w:after="0"/>
        <w:ind w:right="25" w:hanging="360"/>
      </w:pPr>
      <w:r>
        <w:t xml:space="preserve">Seleccionamos el control del cual queremos copiar el formato. </w:t>
      </w:r>
    </w:p>
    <w:p w14:paraId="373DE9F6" w14:textId="77777777" w:rsidR="0032394A" w:rsidRDefault="006D4871">
      <w:pPr>
        <w:numPr>
          <w:ilvl w:val="1"/>
          <w:numId w:val="1"/>
        </w:numPr>
        <w:ind w:right="25" w:hanging="360"/>
      </w:pPr>
      <w:r>
        <w:t xml:space="preserve">En la barra de herramientas vamos a la opción Inicio y seleccionamos </w:t>
      </w:r>
      <w:r>
        <w:rPr>
          <w:i/>
        </w:rPr>
        <w:t>Copiar formato</w:t>
      </w:r>
      <w:r>
        <w:t xml:space="preserve"> </w:t>
      </w:r>
    </w:p>
    <w:p w14:paraId="5D4564D2" w14:textId="77777777" w:rsidR="0032394A" w:rsidRDefault="006D4871">
      <w:pPr>
        <w:numPr>
          <w:ilvl w:val="1"/>
          <w:numId w:val="1"/>
        </w:numPr>
        <w:ind w:right="25" w:hanging="360"/>
      </w:pPr>
      <w:r>
        <w:t xml:space="preserve">Nos ubicamos sobre el control al cual le queremos aplicar el formato </w:t>
      </w:r>
    </w:p>
    <w:p w14:paraId="4A39C00E" w14:textId="77777777" w:rsidR="0032394A" w:rsidRDefault="006D4871">
      <w:pPr>
        <w:numPr>
          <w:ilvl w:val="0"/>
          <w:numId w:val="1"/>
        </w:numPr>
        <w:ind w:right="25" w:hanging="360"/>
      </w:pPr>
      <w:r>
        <w:t xml:space="preserve">Agregaremos un gráfico de anillos y agregaremos a Leyenda el campo cuenta y cómo valores cada uno de los valores de </w:t>
      </w:r>
      <w:r>
        <w:rPr>
          <w:i/>
        </w:rPr>
        <w:t xml:space="preserve">Activo </w:t>
      </w:r>
      <w:r>
        <w:t xml:space="preserve">y </w:t>
      </w:r>
      <w:r>
        <w:rPr>
          <w:i/>
        </w:rPr>
        <w:t>Pasivo.</w:t>
      </w:r>
      <w:r>
        <w:t xml:space="preserve"> </w:t>
      </w:r>
    </w:p>
    <w:p w14:paraId="2489A4EA" w14:textId="77777777" w:rsidR="00BC46F4" w:rsidRPr="00185276" w:rsidRDefault="006D4871">
      <w:pPr>
        <w:numPr>
          <w:ilvl w:val="0"/>
          <w:numId w:val="1"/>
        </w:numPr>
        <w:spacing w:after="0"/>
        <w:ind w:right="25" w:hanging="360"/>
        <w:rPr>
          <w:rStyle w:val="Hipervnculo"/>
          <w:color w:val="000000"/>
          <w:u w:val="none"/>
        </w:rPr>
      </w:pPr>
      <w:r>
        <w:t xml:space="preserve">Publicar y compartir el reporte a </w:t>
      </w:r>
      <w:hyperlink r:id="rId10" w:history="1">
        <w:r w:rsidR="00BC46F4" w:rsidRPr="00315F71">
          <w:rPr>
            <w:rStyle w:val="Hipervnculo"/>
          </w:rPr>
          <w:t>carlos@azabaches.net</w:t>
        </w:r>
      </w:hyperlink>
    </w:p>
    <w:p w14:paraId="4E9DE781" w14:textId="77777777" w:rsidR="00185276" w:rsidRDefault="00185276" w:rsidP="00185276">
      <w:pPr>
        <w:spacing w:after="0"/>
        <w:ind w:left="705" w:right="25" w:firstLine="0"/>
        <w:rPr>
          <w:rStyle w:val="Hipervnculo"/>
        </w:rPr>
      </w:pPr>
    </w:p>
    <w:p w14:paraId="27CBE782" w14:textId="77777777" w:rsidR="00185276" w:rsidRPr="00BC46F4" w:rsidRDefault="00185276" w:rsidP="00185276">
      <w:pPr>
        <w:spacing w:after="0"/>
        <w:ind w:left="705" w:right="25" w:firstLine="0"/>
      </w:pPr>
    </w:p>
    <w:p w14:paraId="416EA867" w14:textId="38B7053F" w:rsidR="0032394A" w:rsidRDefault="00185276" w:rsidP="00185276">
      <w:pPr>
        <w:spacing w:after="0"/>
        <w:ind w:left="345" w:right="25" w:firstLine="0"/>
      </w:pPr>
      <w:r w:rsidRPr="00185276">
        <w:drawing>
          <wp:inline distT="0" distB="0" distL="0" distR="0" wp14:anchorId="60510193" wp14:editId="1FAE2BC6">
            <wp:extent cx="5976620" cy="3308350"/>
            <wp:effectExtent l="0" t="0" r="5080" b="6350"/>
            <wp:docPr id="3978556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855658" name=""/>
                    <pic:cNvPicPr/>
                  </pic:nvPicPr>
                  <pic:blipFill>
                    <a:blip r:embed="rId11"/>
                    <a:stretch>
                      <a:fillRect/>
                    </a:stretch>
                  </pic:blipFill>
                  <pic:spPr>
                    <a:xfrm>
                      <a:off x="0" y="0"/>
                      <a:ext cx="5976620" cy="3308350"/>
                    </a:xfrm>
                    <a:prstGeom prst="rect">
                      <a:avLst/>
                    </a:prstGeom>
                  </pic:spPr>
                </pic:pic>
              </a:graphicData>
            </a:graphic>
          </wp:inline>
        </w:drawing>
      </w:r>
      <w:r w:rsidR="006D4871">
        <w:t xml:space="preserve">  </w:t>
      </w:r>
    </w:p>
    <w:p w14:paraId="4D3F4C50" w14:textId="17E204EF" w:rsidR="0032394A" w:rsidRDefault="00D149C0" w:rsidP="00444C72">
      <w:pPr>
        <w:spacing w:after="5465" w:line="259" w:lineRule="auto"/>
        <w:ind w:left="0" w:firstLine="0"/>
        <w:jc w:val="right"/>
      </w:pPr>
      <w:r>
        <w:t xml:space="preserve">  </w:t>
      </w:r>
    </w:p>
    <w:sectPr w:rsidR="0032394A">
      <w:headerReference w:type="default" r:id="rId12"/>
      <w:footerReference w:type="default" r:id="rId13"/>
      <w:pgSz w:w="12240" w:h="15840"/>
      <w:pgMar w:top="708" w:right="1388" w:bottom="718"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9CA4C" w14:textId="77777777" w:rsidR="005036CC" w:rsidRDefault="005036CC" w:rsidP="00444C72">
      <w:pPr>
        <w:spacing w:after="0" w:line="240" w:lineRule="auto"/>
      </w:pPr>
      <w:r>
        <w:separator/>
      </w:r>
    </w:p>
  </w:endnote>
  <w:endnote w:type="continuationSeparator" w:id="0">
    <w:p w14:paraId="02790563" w14:textId="77777777" w:rsidR="005036CC" w:rsidRDefault="005036CC" w:rsidP="00444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97A3B" w14:textId="77777777" w:rsidR="00444C72" w:rsidRDefault="00444C72" w:rsidP="00444C72">
    <w:pPr>
      <w:shd w:val="clear" w:color="auto" w:fill="4472C4"/>
      <w:tabs>
        <w:tab w:val="center" w:pos="7843"/>
      </w:tabs>
      <w:spacing w:after="99" w:line="259" w:lineRule="auto"/>
      <w:ind w:left="115" w:firstLine="0"/>
    </w:pPr>
    <w:r>
      <w:rPr>
        <w:color w:val="FFFFFF"/>
        <w:sz w:val="18"/>
      </w:rPr>
      <w:t>LABORATORIO 1 – ESTADOS FINANCIEROS – PARTE 2</w:t>
    </w:r>
    <w:r>
      <w:rPr>
        <w:color w:val="FFFFFF"/>
        <w:sz w:val="18"/>
      </w:rPr>
      <w:tab/>
      <w:t xml:space="preserve">                                    carlos@azabaches.net</w:t>
    </w:r>
  </w:p>
  <w:p w14:paraId="72A31EC5" w14:textId="77777777" w:rsidR="00444C72" w:rsidRDefault="00444C7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58A8E" w14:textId="77777777" w:rsidR="005036CC" w:rsidRDefault="005036CC" w:rsidP="00444C72">
      <w:pPr>
        <w:spacing w:after="0" w:line="240" w:lineRule="auto"/>
      </w:pPr>
      <w:r>
        <w:separator/>
      </w:r>
    </w:p>
  </w:footnote>
  <w:footnote w:type="continuationSeparator" w:id="0">
    <w:p w14:paraId="2E77416F" w14:textId="77777777" w:rsidR="005036CC" w:rsidRDefault="005036CC" w:rsidP="00444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10"/>
      <w:tblpPr w:vertAnchor="page" w:horzAnchor="page" w:tblpX="1440" w:tblpY="708"/>
      <w:tblOverlap w:val="never"/>
      <w:tblW w:w="9360" w:type="dxa"/>
      <w:tblInd w:w="0" w:type="dxa"/>
      <w:tblCellMar>
        <w:top w:w="125" w:type="dxa"/>
        <w:left w:w="115" w:type="dxa"/>
        <w:right w:w="115" w:type="dxa"/>
      </w:tblCellMar>
      <w:tblLook w:val="04A0" w:firstRow="1" w:lastRow="0" w:firstColumn="1" w:lastColumn="0" w:noHBand="0" w:noVBand="1"/>
    </w:tblPr>
    <w:tblGrid>
      <w:gridCol w:w="9360"/>
    </w:tblGrid>
    <w:tr w:rsidR="00444C72" w14:paraId="1773B5C2" w14:textId="77777777" w:rsidTr="003D227F">
      <w:trPr>
        <w:trHeight w:val="428"/>
      </w:trPr>
      <w:tc>
        <w:tcPr>
          <w:tcW w:w="9360" w:type="dxa"/>
          <w:tcBorders>
            <w:top w:val="nil"/>
            <w:left w:val="nil"/>
            <w:bottom w:val="nil"/>
            <w:right w:val="nil"/>
          </w:tcBorders>
          <w:shd w:val="clear" w:color="auto" w:fill="4472C4"/>
        </w:tcPr>
        <w:p w14:paraId="4022F091" w14:textId="77777777" w:rsidR="00444C72" w:rsidRDefault="00444C72" w:rsidP="00444C72">
          <w:pPr>
            <w:spacing w:after="0" w:line="259" w:lineRule="auto"/>
            <w:ind w:left="3" w:firstLine="0"/>
            <w:jc w:val="center"/>
          </w:pPr>
          <w:r>
            <w:rPr>
              <w:noProof/>
            </w:rPr>
            <w:drawing>
              <wp:anchor distT="0" distB="0" distL="114300" distR="114300" simplePos="0" relativeHeight="251660288" behindDoc="0" locked="0" layoutInCell="1" allowOverlap="1" wp14:anchorId="123A3288" wp14:editId="5DB13717">
                <wp:simplePos x="0" y="0"/>
                <wp:positionH relativeFrom="column">
                  <wp:posOffset>5414010</wp:posOffset>
                </wp:positionH>
                <wp:positionV relativeFrom="paragraph">
                  <wp:posOffset>-145985</wp:posOffset>
                </wp:positionV>
                <wp:extent cx="472847" cy="427926"/>
                <wp:effectExtent l="0" t="0" r="3810" b="0"/>
                <wp:wrapNone/>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n 10"/>
                        <pic:cNvPicPr/>
                      </pic:nvPicPr>
                      <pic:blipFill>
                        <a:blip r:embed="rId1">
                          <a:extLst>
                            <a:ext uri="{28A0092B-C50C-407E-A947-70E740481C1C}">
                              <a14:useLocalDpi xmlns:a14="http://schemas.microsoft.com/office/drawing/2010/main" val="0"/>
                            </a:ext>
                          </a:extLst>
                        </a:blip>
                        <a:stretch>
                          <a:fillRect/>
                        </a:stretch>
                      </pic:blipFill>
                      <pic:spPr>
                        <a:xfrm>
                          <a:off x="0" y="0"/>
                          <a:ext cx="483518" cy="437583"/>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729B4338" wp14:editId="496EC1B1">
                <wp:simplePos x="0" y="0"/>
                <wp:positionH relativeFrom="column">
                  <wp:posOffset>-72390</wp:posOffset>
                </wp:positionH>
                <wp:positionV relativeFrom="paragraph">
                  <wp:posOffset>-153670</wp:posOffset>
                </wp:positionV>
                <wp:extent cx="457200" cy="467995"/>
                <wp:effectExtent l="0" t="0" r="0" b="825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pic:cNvPicPr/>
                      </pic:nvPicPr>
                      <pic:blipFill>
                        <a:blip r:embed="rId2">
                          <a:extLst>
                            <a:ext uri="{28A0092B-C50C-407E-A947-70E740481C1C}">
                              <a14:useLocalDpi xmlns:a14="http://schemas.microsoft.com/office/drawing/2010/main" val="0"/>
                            </a:ext>
                          </a:extLst>
                        </a:blip>
                        <a:stretch>
                          <a:fillRect/>
                        </a:stretch>
                      </pic:blipFill>
                      <pic:spPr>
                        <a:xfrm>
                          <a:off x="0" y="0"/>
                          <a:ext cx="457200" cy="467995"/>
                        </a:xfrm>
                        <a:prstGeom prst="rect">
                          <a:avLst/>
                        </a:prstGeom>
                      </pic:spPr>
                    </pic:pic>
                  </a:graphicData>
                </a:graphic>
                <wp14:sizeRelH relativeFrom="page">
                  <wp14:pctWidth>0</wp14:pctWidth>
                </wp14:sizeRelH>
                <wp14:sizeRelV relativeFrom="page">
                  <wp14:pctHeight>0</wp14:pctHeight>
                </wp14:sizeRelV>
              </wp:anchor>
            </w:drawing>
          </w:r>
          <w:r>
            <w:rPr>
              <w:color w:val="FFFFFF"/>
            </w:rPr>
            <w:t xml:space="preserve">Laboratorio 1 – Estados Financieros – Parte 2 </w:t>
          </w:r>
        </w:p>
      </w:tc>
    </w:tr>
  </w:tbl>
  <w:p w14:paraId="4D10871A" w14:textId="77777777" w:rsidR="00444C72" w:rsidRDefault="00444C7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3A272B"/>
    <w:multiLevelType w:val="hybridMultilevel"/>
    <w:tmpl w:val="9AFADC3C"/>
    <w:lvl w:ilvl="0" w:tplc="8D3016EA">
      <w:start w:val="1"/>
      <w:numFmt w:val="decimal"/>
      <w:lvlText w:val="%1."/>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536083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18C2CF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B4065B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FDA9AF8">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92044B7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FAB58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3ACCBFC">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12E8923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45093EF9"/>
    <w:multiLevelType w:val="hybridMultilevel"/>
    <w:tmpl w:val="52782344"/>
    <w:lvl w:ilvl="0" w:tplc="2B1E68DE">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646571A">
      <w:start w:val="1"/>
      <w:numFmt w:val="bullet"/>
      <w:lvlText w:val="•"/>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52ED1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34E290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5A3E4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A962A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C882CC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16DBC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2D58D7E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2010790089">
    <w:abstractNumId w:val="0"/>
  </w:num>
  <w:num w:numId="2" w16cid:durableId="9523263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94A"/>
    <w:rsid w:val="00185276"/>
    <w:rsid w:val="00232BBE"/>
    <w:rsid w:val="002B1FA4"/>
    <w:rsid w:val="0032394A"/>
    <w:rsid w:val="00444C72"/>
    <w:rsid w:val="005036CC"/>
    <w:rsid w:val="006D4871"/>
    <w:rsid w:val="009B20B5"/>
    <w:rsid w:val="00B91B96"/>
    <w:rsid w:val="00BC46F4"/>
    <w:rsid w:val="00D149C0"/>
    <w:rsid w:val="00F75C7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AB5D8"/>
  <w15:docId w15:val="{B26342BE-56B8-4905-BA0C-E066BCC05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1" w:line="261" w:lineRule="auto"/>
      <w:ind w:left="730" w:hanging="370"/>
    </w:pPr>
    <w:rPr>
      <w:rFonts w:ascii="Calibri" w:eastAsia="Calibri" w:hAnsi="Calibri" w:cs="Calibri"/>
      <w:color w:val="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aconcuadrcula1">
    <w:name w:val="Tabla con cuadrícula1"/>
    <w:pPr>
      <w:spacing w:after="0" w:line="240" w:lineRule="auto"/>
    </w:pPr>
    <w:tblPr>
      <w:tblCellMar>
        <w:top w:w="0" w:type="dxa"/>
        <w:left w:w="0" w:type="dxa"/>
        <w:bottom w:w="0" w:type="dxa"/>
        <w:right w:w="0" w:type="dxa"/>
      </w:tblCellMar>
    </w:tblPr>
  </w:style>
  <w:style w:type="paragraph" w:styleId="Encabezado">
    <w:name w:val="header"/>
    <w:basedOn w:val="Normal"/>
    <w:link w:val="EncabezadoCar"/>
    <w:uiPriority w:val="99"/>
    <w:unhideWhenUsed/>
    <w:rsid w:val="00444C72"/>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444C72"/>
    <w:rPr>
      <w:rFonts w:ascii="Calibri" w:eastAsia="Calibri" w:hAnsi="Calibri" w:cs="Calibri"/>
      <w:color w:val="000000"/>
    </w:rPr>
  </w:style>
  <w:style w:type="paragraph" w:styleId="Piedepgina">
    <w:name w:val="footer"/>
    <w:basedOn w:val="Normal"/>
    <w:link w:val="PiedepginaCar"/>
    <w:uiPriority w:val="99"/>
    <w:unhideWhenUsed/>
    <w:rsid w:val="00444C72"/>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444C72"/>
    <w:rPr>
      <w:rFonts w:ascii="Calibri" w:eastAsia="Calibri" w:hAnsi="Calibri" w:cs="Calibri"/>
      <w:color w:val="000000"/>
    </w:rPr>
  </w:style>
  <w:style w:type="table" w:customStyle="1" w:styleId="Tablaconcuadrcula10">
    <w:name w:val="Tabla con cuadrícula1"/>
    <w:rsid w:val="00444C72"/>
    <w:pPr>
      <w:spacing w:after="0" w:line="240" w:lineRule="auto"/>
    </w:pPr>
    <w:tblPr>
      <w:tblCellMar>
        <w:top w:w="0" w:type="dxa"/>
        <w:left w:w="0" w:type="dxa"/>
        <w:bottom w:w="0" w:type="dxa"/>
        <w:right w:w="0" w:type="dxa"/>
      </w:tblCellMar>
    </w:tblPr>
  </w:style>
  <w:style w:type="character" w:styleId="Hipervnculo">
    <w:name w:val="Hyperlink"/>
    <w:basedOn w:val="Fuentedeprrafopredeter"/>
    <w:uiPriority w:val="99"/>
    <w:unhideWhenUsed/>
    <w:rsid w:val="00BC46F4"/>
    <w:rPr>
      <w:color w:val="0563C1" w:themeColor="hyperlink"/>
      <w:u w:val="single"/>
    </w:rPr>
  </w:style>
  <w:style w:type="character" w:styleId="Mencinsinresolver">
    <w:name w:val="Unresolved Mention"/>
    <w:basedOn w:val="Fuentedeprrafopredeter"/>
    <w:uiPriority w:val="99"/>
    <w:semiHidden/>
    <w:unhideWhenUsed/>
    <w:rsid w:val="00BC46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carlos@azabaches.ne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2bd3d3e-4507-467c-b702-5f091a1deb42" xsi:nil="true"/>
    <lcf76f155ced4ddcb4097134ff3c332f xmlns="e71234cf-c352-41a5-83dc-5da941fa555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EB9A889B47B26242962CC2DE39678239" ma:contentTypeVersion="11" ma:contentTypeDescription="Crear nuevo documento." ma:contentTypeScope="" ma:versionID="25aee2683c5e329cb4aab1a28414a48e">
  <xsd:schema xmlns:xsd="http://www.w3.org/2001/XMLSchema" xmlns:xs="http://www.w3.org/2001/XMLSchema" xmlns:p="http://schemas.microsoft.com/office/2006/metadata/properties" xmlns:ns2="e71234cf-c352-41a5-83dc-5da941fa5553" xmlns:ns3="c2bd3d3e-4507-467c-b702-5f091a1deb42" targetNamespace="http://schemas.microsoft.com/office/2006/metadata/properties" ma:root="true" ma:fieldsID="7b008b9ff78a8e7baf8a7a99af9ada17" ns2:_="" ns3:_="">
    <xsd:import namespace="e71234cf-c352-41a5-83dc-5da941fa5553"/>
    <xsd:import namespace="c2bd3d3e-4507-467c-b702-5f091a1deb42"/>
    <xsd:element name="properties">
      <xsd:complexType>
        <xsd:sequence>
          <xsd:element name="documentManagement">
            <xsd:complexType>
              <xsd:all>
                <xsd:element ref="ns2:MediaServiceMetadata" minOccurs="0"/>
                <xsd:element ref="ns2:MediaServiceFastMetadata"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1234cf-c352-41a5-83dc-5da941fa5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74ca328b-cafe-482b-b2ef-53b5fb689b9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2bd3d3e-4507-467c-b702-5f091a1deb42"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bf6ebcf2-d418-46da-9e34-e24cf2d8f8d8}" ma:internalName="TaxCatchAll" ma:showField="CatchAllData" ma:web="c2bd3d3e-4507-467c-b702-5f091a1deb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08A2F1-DC70-43A9-9362-281D9B956FC6}">
  <ds:schemaRefs>
    <ds:schemaRef ds:uri="http://schemas.microsoft.com/sharepoint/v3/contenttype/forms"/>
  </ds:schemaRefs>
</ds:datastoreItem>
</file>

<file path=customXml/itemProps2.xml><?xml version="1.0" encoding="utf-8"?>
<ds:datastoreItem xmlns:ds="http://schemas.openxmlformats.org/officeDocument/2006/customXml" ds:itemID="{9700FE64-FCCC-4142-B640-775AFD33ED31}">
  <ds:schemaRefs>
    <ds:schemaRef ds:uri="http://schemas.microsoft.com/office/2006/metadata/properties"/>
    <ds:schemaRef ds:uri="http://schemas.microsoft.com/office/infopath/2007/PartnerControls"/>
    <ds:schemaRef ds:uri="c2bd3d3e-4507-467c-b702-5f091a1deb42"/>
    <ds:schemaRef ds:uri="e71234cf-c352-41a5-83dc-5da941fa5553"/>
  </ds:schemaRefs>
</ds:datastoreItem>
</file>

<file path=customXml/itemProps3.xml><?xml version="1.0" encoding="utf-8"?>
<ds:datastoreItem xmlns:ds="http://schemas.openxmlformats.org/officeDocument/2006/customXml" ds:itemID="{93792921-0FAF-49C3-A28A-6CBB789EA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1234cf-c352-41a5-83dc-5da941fa5553"/>
    <ds:schemaRef ds:uri="c2bd3d3e-4507-467c-b702-5f091a1de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509</Words>
  <Characters>2803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Laboratorio 1 – Estados Financieros – Parte 2</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Laboratorio 1 – Estados Financieros – Parte 2</dc:title>
  <dc:subject/>
  <dc:creator>carlos@azabaches.net;Carlos Azabache Sabando</dc:creator>
  <cp:keywords/>
  <cp:lastModifiedBy>Carlos Misael Azabache Sabando</cp:lastModifiedBy>
  <cp:revision>4</cp:revision>
  <dcterms:created xsi:type="dcterms:W3CDTF">2022-11-11T22:54:00Z</dcterms:created>
  <dcterms:modified xsi:type="dcterms:W3CDTF">2024-03-24T04:38:00Z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0x010100EB9A889B47B26242962CC2DE39678239</vt:lpwstr>
  </property>
  <property fmtid="{D5CDD505-2E9C-101B-9397-08002B2CF9AE}" pid="3" name="MediaServiceImageTags">
    <vt:lpwstr/>
  </property>
</Properties>
</file>